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59"/>
        <w:gridCol w:w="4212"/>
      </w:tblGrid>
      <w:tr w:rsidR="006C5B5F" w:rsidRPr="004547E0" w14:paraId="10343540" w14:textId="77777777" w:rsidTr="00A61217">
        <w:trPr>
          <w:trHeight w:val="1693"/>
        </w:trPr>
        <w:tc>
          <w:tcPr>
            <w:tcW w:w="4859" w:type="dxa"/>
          </w:tcPr>
          <w:p w14:paraId="58EBEE36" w14:textId="77777777" w:rsidR="006C5B5F" w:rsidRPr="004547E0" w:rsidRDefault="00BE0749" w:rsidP="00B11E7E">
            <w:pPr>
              <w:ind w:left="0"/>
              <w:rPr>
                <w:rFonts w:ascii="Times New Roman" w:hAnsi="Times New Roman" w:cs="Times New Roman"/>
              </w:rPr>
            </w:pPr>
            <w:r>
              <w:rPr>
                <w:noProof/>
                <w:lang w:eastAsia="et-EE"/>
              </w:rPr>
              <w:drawing>
                <wp:anchor distT="0" distB="0" distL="114300" distR="114300" simplePos="0" relativeHeight="251658240" behindDoc="0" locked="0" layoutInCell="1" allowOverlap="1" wp14:anchorId="3C519F24" wp14:editId="2252FE8C">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12" w:type="dxa"/>
          </w:tcPr>
          <w:p w14:paraId="7C66D632" w14:textId="77777777" w:rsidR="006C5B5F" w:rsidRPr="004547E0" w:rsidRDefault="006C5B5F" w:rsidP="003A1041">
            <w:pPr>
              <w:ind w:left="0"/>
              <w:jc w:val="right"/>
              <w:rPr>
                <w:rFonts w:ascii="Times New Roman" w:hAnsi="Times New Roman" w:cs="Times New Roman"/>
              </w:rPr>
            </w:pPr>
          </w:p>
        </w:tc>
      </w:tr>
      <w:tr w:rsidR="006C5B5F" w:rsidRPr="004547E0" w14:paraId="1CBD0D9E" w14:textId="77777777" w:rsidTr="00A61217">
        <w:trPr>
          <w:trHeight w:val="1848"/>
        </w:trPr>
        <w:tc>
          <w:tcPr>
            <w:tcW w:w="4859" w:type="dxa"/>
          </w:tcPr>
          <w:p w14:paraId="41FE0BEB" w14:textId="2327E5B0" w:rsidR="002B6007" w:rsidRPr="004547E0" w:rsidRDefault="001B771F" w:rsidP="008B6D49">
            <w:pPr>
              <w:ind w:left="0"/>
              <w:rPr>
                <w:rFonts w:ascii="Times New Roman" w:hAnsi="Times New Roman" w:cs="Times New Roman"/>
                <w:sz w:val="24"/>
                <w:szCs w:val="24"/>
              </w:rPr>
            </w:pPr>
            <w:r>
              <w:rPr>
                <w:rFonts w:ascii="Times New Roman" w:hAnsi="Times New Roman" w:cs="Times New Roman"/>
                <w:sz w:val="24"/>
                <w:szCs w:val="24"/>
              </w:rPr>
              <w:t>Reisieksperdi Aktsiaselts</w:t>
            </w:r>
          </w:p>
        </w:tc>
        <w:tc>
          <w:tcPr>
            <w:tcW w:w="4212" w:type="dxa"/>
          </w:tcPr>
          <w:p w14:paraId="4A1BFED4" w14:textId="77777777" w:rsidR="006C5B5F" w:rsidRPr="004547E0" w:rsidRDefault="006C5B5F" w:rsidP="00B11E7E">
            <w:pPr>
              <w:ind w:left="0"/>
              <w:jc w:val="right"/>
              <w:rPr>
                <w:rFonts w:ascii="Times New Roman" w:hAnsi="Times New Roman" w:cs="Times New Roman"/>
                <w:sz w:val="24"/>
                <w:szCs w:val="24"/>
              </w:rPr>
            </w:pPr>
          </w:p>
          <w:p w14:paraId="2F0BD74B" w14:textId="77777777" w:rsidR="002B6007" w:rsidRPr="004547E0" w:rsidRDefault="002B6007" w:rsidP="00B11E7E">
            <w:pPr>
              <w:ind w:left="0"/>
              <w:jc w:val="right"/>
              <w:rPr>
                <w:rFonts w:ascii="Times New Roman" w:hAnsi="Times New Roman" w:cs="Times New Roman"/>
                <w:sz w:val="24"/>
                <w:szCs w:val="24"/>
              </w:rPr>
            </w:pPr>
          </w:p>
          <w:p w14:paraId="744F2EA3" w14:textId="3619829D" w:rsidR="006C5B5F" w:rsidRPr="004547E0" w:rsidRDefault="00780CC2" w:rsidP="00B11E7E">
            <w:pPr>
              <w:ind w:left="0"/>
              <w:jc w:val="right"/>
              <w:rPr>
                <w:rFonts w:ascii="Times New Roman" w:hAnsi="Times New Roman" w:cs="Times New Roman"/>
                <w:sz w:val="24"/>
                <w:szCs w:val="24"/>
              </w:rPr>
            </w:pPr>
            <w:r w:rsidRPr="004547E0">
              <w:rPr>
                <w:rFonts w:ascii="Times New Roman" w:hAnsi="Times New Roman" w:cs="Times New Roman"/>
                <w:sz w:val="24"/>
                <w:szCs w:val="24"/>
              </w:rPr>
              <w:fldChar w:fldCharType="begin"/>
            </w:r>
            <w:r w:rsidR="003C7584">
              <w:rPr>
                <w:rFonts w:ascii="Times New Roman" w:hAnsi="Times New Roman" w:cs="Times New Roman"/>
                <w:sz w:val="24"/>
                <w:szCs w:val="24"/>
              </w:rPr>
              <w:instrText xml:space="preserve"> delta_regDateTime  \* MERGEFORMAT</w:instrText>
            </w:r>
            <w:r w:rsidRPr="004547E0">
              <w:rPr>
                <w:rFonts w:ascii="Times New Roman" w:hAnsi="Times New Roman" w:cs="Times New Roman"/>
                <w:sz w:val="24"/>
                <w:szCs w:val="24"/>
              </w:rPr>
              <w:fldChar w:fldCharType="separate"/>
            </w:r>
            <w:r w:rsidR="003C7584">
              <w:rPr>
                <w:rFonts w:ascii="Times New Roman" w:hAnsi="Times New Roman" w:cs="Times New Roman"/>
                <w:sz w:val="24"/>
                <w:szCs w:val="24"/>
              </w:rPr>
              <w:t>24.11.2025</w:t>
            </w:r>
            <w:r w:rsidRPr="004547E0">
              <w:rPr>
                <w:rFonts w:ascii="Times New Roman" w:hAnsi="Times New Roman" w:cs="Times New Roman"/>
                <w:sz w:val="24"/>
                <w:szCs w:val="24"/>
              </w:rPr>
              <w:fldChar w:fldCharType="end"/>
            </w:r>
            <w:r w:rsidRPr="004547E0">
              <w:rPr>
                <w:rFonts w:ascii="Times New Roman" w:hAnsi="Times New Roman" w:cs="Times New Roman"/>
                <w:sz w:val="24"/>
                <w:szCs w:val="24"/>
              </w:rPr>
              <w:t xml:space="preserve"> nr </w:t>
            </w:r>
            <w:r w:rsidRPr="004547E0">
              <w:rPr>
                <w:rFonts w:ascii="Times New Roman" w:hAnsi="Times New Roman" w:cs="Times New Roman"/>
                <w:sz w:val="24"/>
                <w:szCs w:val="24"/>
              </w:rPr>
              <w:fldChar w:fldCharType="begin"/>
            </w:r>
            <w:r w:rsidR="003C7584">
              <w:rPr>
                <w:rFonts w:ascii="Times New Roman" w:hAnsi="Times New Roman" w:cs="Times New Roman"/>
                <w:sz w:val="24"/>
                <w:szCs w:val="24"/>
              </w:rPr>
              <w:instrText xml:space="preserve"> delta_regNumber  \* MERGEFORMAT</w:instrText>
            </w:r>
            <w:r w:rsidRPr="004547E0">
              <w:rPr>
                <w:rFonts w:ascii="Times New Roman" w:hAnsi="Times New Roman" w:cs="Times New Roman"/>
                <w:sz w:val="24"/>
                <w:szCs w:val="24"/>
              </w:rPr>
              <w:fldChar w:fldCharType="separate"/>
            </w:r>
            <w:r w:rsidR="003C7584">
              <w:rPr>
                <w:rFonts w:ascii="Times New Roman" w:hAnsi="Times New Roman" w:cs="Times New Roman"/>
                <w:sz w:val="24"/>
                <w:szCs w:val="24"/>
              </w:rPr>
              <w:t>2-1/719-4</w:t>
            </w:r>
            <w:r w:rsidRPr="004547E0">
              <w:rPr>
                <w:rFonts w:ascii="Times New Roman" w:hAnsi="Times New Roman" w:cs="Times New Roman"/>
                <w:sz w:val="24"/>
                <w:szCs w:val="24"/>
              </w:rPr>
              <w:fldChar w:fldCharType="end"/>
            </w:r>
          </w:p>
        </w:tc>
      </w:tr>
      <w:tr w:rsidR="001A4AAD" w:rsidRPr="004547E0" w14:paraId="1EFC59B0" w14:textId="77777777" w:rsidTr="00A61217">
        <w:trPr>
          <w:trHeight w:val="379"/>
        </w:trPr>
        <w:tc>
          <w:tcPr>
            <w:tcW w:w="4213" w:type="dxa"/>
          </w:tcPr>
          <w:p w14:paraId="1BC0172E" w14:textId="2BFF4587" w:rsidR="001A4AAD" w:rsidRPr="008B6D49" w:rsidRDefault="00780CC2" w:rsidP="00A61217">
            <w:pPr>
              <w:tabs>
                <w:tab w:val="left" w:pos="171"/>
              </w:tabs>
              <w:ind w:left="0"/>
              <w:rPr>
                <w:rFonts w:ascii="Times New Roman" w:hAnsi="Times New Roman" w:cs="Times New Roman"/>
                <w:bCs/>
                <w:sz w:val="24"/>
                <w:szCs w:val="24"/>
              </w:rPr>
            </w:pPr>
            <w:r w:rsidRPr="008B6D49">
              <w:rPr>
                <w:rFonts w:ascii="Times New Roman" w:hAnsi="Times New Roman" w:cs="Times New Roman"/>
                <w:bCs/>
                <w:sz w:val="24"/>
                <w:szCs w:val="24"/>
              </w:rPr>
              <w:fldChar w:fldCharType="begin"/>
            </w:r>
            <w:r w:rsidR="003C7584">
              <w:rPr>
                <w:rFonts w:ascii="Times New Roman" w:hAnsi="Times New Roman" w:cs="Times New Roman"/>
                <w:bCs/>
                <w:sz w:val="24"/>
                <w:szCs w:val="24"/>
              </w:rPr>
              <w:instrText xml:space="preserve"> delta_docName  \* MERGEFORMAT</w:instrText>
            </w:r>
            <w:r w:rsidRPr="008B6D49">
              <w:rPr>
                <w:rFonts w:ascii="Times New Roman" w:hAnsi="Times New Roman" w:cs="Times New Roman"/>
                <w:bCs/>
                <w:sz w:val="24"/>
                <w:szCs w:val="24"/>
              </w:rPr>
              <w:fldChar w:fldCharType="separate"/>
            </w:r>
            <w:r w:rsidR="003C7584">
              <w:rPr>
                <w:rFonts w:ascii="Times New Roman" w:hAnsi="Times New Roman" w:cs="Times New Roman"/>
                <w:bCs/>
                <w:sz w:val="24"/>
                <w:szCs w:val="24"/>
              </w:rPr>
              <w:t>Ülesütlemisavaldus</w:t>
            </w:r>
            <w:r w:rsidRPr="008B6D49">
              <w:rPr>
                <w:rFonts w:ascii="Times New Roman" w:hAnsi="Times New Roman" w:cs="Times New Roman"/>
                <w:bCs/>
                <w:sz w:val="24"/>
                <w:szCs w:val="24"/>
              </w:rPr>
              <w:fldChar w:fldCharType="end"/>
            </w:r>
          </w:p>
        </w:tc>
        <w:tc>
          <w:tcPr>
            <w:tcW w:w="4109" w:type="dxa"/>
          </w:tcPr>
          <w:p w14:paraId="3345FCB4" w14:textId="77777777" w:rsidR="001A4AAD" w:rsidRPr="004547E0" w:rsidRDefault="001A4AAD" w:rsidP="00A61217">
            <w:pPr>
              <w:ind w:left="0"/>
              <w:rPr>
                <w:rFonts w:ascii="Times New Roman" w:hAnsi="Times New Roman" w:cs="Times New Roman"/>
                <w:sz w:val="24"/>
                <w:szCs w:val="24"/>
              </w:rPr>
            </w:pPr>
          </w:p>
        </w:tc>
      </w:tr>
    </w:tbl>
    <w:p w14:paraId="520975AD" w14:textId="77777777" w:rsidR="005442C4" w:rsidRDefault="005442C4" w:rsidP="00A61217">
      <w:pPr>
        <w:spacing w:after="0" w:line="240" w:lineRule="auto"/>
        <w:ind w:left="0"/>
        <w:jc w:val="both"/>
        <w:rPr>
          <w:rFonts w:ascii="Times New Roman" w:hAnsi="Times New Roman" w:cs="Times New Roman"/>
          <w:sz w:val="24"/>
          <w:szCs w:val="24"/>
        </w:rPr>
      </w:pPr>
    </w:p>
    <w:p w14:paraId="3EFBA972"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Lugupeetud Reisieksperdi Aktsiaseltsi esindaja Kadri Jõerüüt</w:t>
      </w:r>
    </w:p>
    <w:p w14:paraId="57A04471" w14:textId="77777777" w:rsidR="003A1041" w:rsidRPr="003A1041" w:rsidRDefault="003A1041" w:rsidP="003A1041">
      <w:pPr>
        <w:spacing w:after="0" w:line="240" w:lineRule="auto"/>
        <w:ind w:left="0"/>
        <w:jc w:val="both"/>
        <w:rPr>
          <w:rFonts w:ascii="Times New Roman" w:eastAsia="Aptos" w:hAnsi="Times New Roman" w:cs="Times New Roman"/>
          <w:b/>
          <w:bCs/>
          <w:kern w:val="2"/>
          <w:sz w:val="24"/>
          <w:szCs w:val="24"/>
          <w14:ligatures w14:val="standardContextual"/>
        </w:rPr>
      </w:pPr>
    </w:p>
    <w:p w14:paraId="3A6E8E93" w14:textId="77777777" w:rsidR="003A1041" w:rsidRPr="003A1041" w:rsidRDefault="003A1041" w:rsidP="003A1041">
      <w:pPr>
        <w:spacing w:after="0" w:line="240" w:lineRule="auto"/>
        <w:ind w:left="0"/>
        <w:jc w:val="both"/>
        <w:rPr>
          <w:rFonts w:ascii="Times New Roman" w:eastAsia="Aptos" w:hAnsi="Times New Roman" w:cs="Times New Roman"/>
          <w:b/>
          <w:bCs/>
          <w:kern w:val="2"/>
          <w:sz w:val="24"/>
          <w:szCs w:val="24"/>
          <w14:ligatures w14:val="standardContextual"/>
        </w:rPr>
      </w:pPr>
      <w:r w:rsidRPr="003A1041">
        <w:rPr>
          <w:rFonts w:ascii="Times New Roman" w:eastAsia="Aptos" w:hAnsi="Times New Roman" w:cs="Times New Roman"/>
          <w:b/>
          <w:bCs/>
          <w:kern w:val="2"/>
          <w:sz w:val="24"/>
          <w:szCs w:val="24"/>
          <w14:ligatures w14:val="standardContextual"/>
        </w:rPr>
        <w:t xml:space="preserve">Siseministeerium ütleb erakorraliselt üles riigihanke „Reisikorraldusteenuse tellimine” (viitenumber: 259617) tulemusel 29.06.2023 sõlmitud raamlepingu nr </w:t>
      </w:r>
      <w:bookmarkStart w:id="1" w:name="_Hlk214355430"/>
      <w:r w:rsidRPr="003A1041">
        <w:rPr>
          <w:rFonts w:ascii="Times New Roman" w:eastAsia="Aptos" w:hAnsi="Times New Roman" w:cs="Times New Roman"/>
          <w:b/>
          <w:bCs/>
          <w:kern w:val="2"/>
          <w:sz w:val="24"/>
          <w:szCs w:val="24"/>
          <w14:ligatures w14:val="standardContextual"/>
        </w:rPr>
        <w:t xml:space="preserve">7-3/972-1 </w:t>
      </w:r>
      <w:bookmarkEnd w:id="1"/>
      <w:r w:rsidRPr="003A1041">
        <w:rPr>
          <w:rFonts w:ascii="Times New Roman" w:eastAsia="Aptos" w:hAnsi="Times New Roman" w:cs="Times New Roman"/>
          <w:b/>
          <w:bCs/>
          <w:kern w:val="2"/>
          <w:sz w:val="24"/>
          <w:szCs w:val="24"/>
          <w14:ligatures w14:val="standardContextual"/>
        </w:rPr>
        <w:t xml:space="preserve">Reisieksperdi Aktsiaseltsiga alates käesoleva ülesütlemisavalduse kättesaamisest. </w:t>
      </w:r>
    </w:p>
    <w:p w14:paraId="3E6069FB" w14:textId="77777777" w:rsidR="003A1041" w:rsidRPr="003A1041" w:rsidRDefault="003A1041" w:rsidP="003A1041">
      <w:pPr>
        <w:spacing w:after="0" w:line="240" w:lineRule="auto"/>
        <w:ind w:left="0"/>
        <w:jc w:val="both"/>
        <w:rPr>
          <w:rFonts w:ascii="Times New Roman" w:eastAsia="Aptos" w:hAnsi="Times New Roman" w:cs="Times New Roman"/>
          <w:b/>
          <w:bCs/>
          <w:kern w:val="2"/>
          <w:sz w:val="24"/>
          <w:szCs w:val="24"/>
          <w14:ligatures w14:val="standardContextual"/>
        </w:rPr>
      </w:pPr>
    </w:p>
    <w:p w14:paraId="13CE8E17"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 xml:space="preserve">Lepingu ülesütlemise aluseks on lepingu punkt 10.6, mille kohaselt on hankijal õigus täitjaga leping üles öelda, kui täitja on oluliselt rikkunud lepingut. Lepingu punkti 10.6.1 kohaselt loetakse oluliseks rikkumiseks muuhulgas täitja poolt teadlikult valeandmete või valeinfo esitamist teenuse osutamise käigus ning mistahes lepingust tuleneva kohustuse tahtlikku rikkumist. </w:t>
      </w:r>
      <w:r w:rsidRPr="003A1041">
        <w:rPr>
          <w:rFonts w:ascii="Times New Roman" w:eastAsia="Aptos" w:hAnsi="Times New Roman" w:cs="Times New Roman"/>
          <w:b/>
          <w:bCs/>
          <w:kern w:val="2"/>
          <w:sz w:val="24"/>
          <w:szCs w:val="24"/>
          <w14:ligatures w14:val="standardContextual"/>
        </w:rPr>
        <w:t xml:space="preserve">Hankija on seisukohal, et Reisieksperdi Aktsiaselts (edaspidi ka </w:t>
      </w:r>
      <w:r w:rsidRPr="003A1041">
        <w:rPr>
          <w:rFonts w:ascii="Times New Roman" w:eastAsia="Aptos" w:hAnsi="Times New Roman" w:cs="Times New Roman"/>
          <w:b/>
          <w:bCs/>
          <w:i/>
          <w:iCs/>
          <w:kern w:val="2"/>
          <w:sz w:val="24"/>
          <w:szCs w:val="24"/>
          <w14:ligatures w14:val="standardContextual"/>
        </w:rPr>
        <w:t>täitja 1</w:t>
      </w:r>
      <w:r w:rsidRPr="003A1041">
        <w:rPr>
          <w:rFonts w:ascii="Times New Roman" w:eastAsia="Aptos" w:hAnsi="Times New Roman" w:cs="Times New Roman"/>
          <w:b/>
          <w:bCs/>
          <w:kern w:val="2"/>
          <w:sz w:val="24"/>
          <w:szCs w:val="24"/>
          <w14:ligatures w14:val="standardContextual"/>
        </w:rPr>
        <w:t>) on oluliselt rikkunud lepingut</w:t>
      </w:r>
      <w:r w:rsidRPr="003A1041">
        <w:rPr>
          <w:rFonts w:ascii="Times New Roman" w:eastAsia="Aptos" w:hAnsi="Times New Roman" w:cs="Times New Roman"/>
          <w:kern w:val="2"/>
          <w:sz w:val="24"/>
          <w:szCs w:val="24"/>
          <w14:ligatures w14:val="standardContextual"/>
        </w:rPr>
        <w:t xml:space="preserve">. </w:t>
      </w:r>
    </w:p>
    <w:p w14:paraId="762DBBE7"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538E8BEC"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 xml:space="preserve">Lepingu täitmise käigus sai hankijale teatavaks, et täitja 1 on korduvalt edastanud Politsei- ja Piirivalveametile (edaspidi </w:t>
      </w:r>
      <w:r w:rsidRPr="003A1041">
        <w:rPr>
          <w:rFonts w:ascii="Times New Roman" w:eastAsia="Aptos" w:hAnsi="Times New Roman" w:cs="Times New Roman"/>
          <w:i/>
          <w:iCs/>
          <w:kern w:val="2"/>
          <w:sz w:val="24"/>
          <w:szCs w:val="24"/>
          <w14:ligatures w14:val="standardContextual"/>
        </w:rPr>
        <w:t>tellija</w:t>
      </w:r>
      <w:r w:rsidRPr="003A1041">
        <w:rPr>
          <w:rFonts w:ascii="Times New Roman" w:eastAsia="Aptos" w:hAnsi="Times New Roman" w:cs="Times New Roman"/>
          <w:kern w:val="2"/>
          <w:sz w:val="24"/>
          <w:szCs w:val="24"/>
          <w14:ligatures w14:val="standardContextual"/>
        </w:rPr>
        <w:t xml:space="preserve">) valeandmeid vahendatava teenuse sisseostuhinna kohta. Täpsemalt, lepingu täitmisel ilmnes, et täitja 1 poolt tellijale edastatud pakkumised näitavad kõrgemat hinda kui vastavate teenusepakkujate kodulehel ning teiste täitjate poolt vahendatud samade teenusepakkujate samad teenused. Eeltoodud asjaolusid kontrollides selgus, et täitja 1 on edastanud tellijale sisseostu hindade kohta valeandmeid sisaldavad pakkumised.  </w:t>
      </w:r>
    </w:p>
    <w:p w14:paraId="1E9AB214"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2FAE7ED6"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highlight w:val="yellow"/>
          <w14:ligatures w14:val="standardContextual"/>
        </w:rPr>
      </w:pPr>
      <w:r w:rsidRPr="003A1041" w:rsidDel="00A72D7A">
        <w:rPr>
          <w:rFonts w:ascii="Times New Roman" w:eastAsia="Aptos" w:hAnsi="Times New Roman" w:cs="Times New Roman"/>
          <w:kern w:val="2"/>
          <w:sz w:val="24"/>
          <w:szCs w:val="24"/>
          <w14:ligatures w14:val="standardContextual"/>
        </w:rPr>
        <w:t xml:space="preserve">Hankija rõhutab, et loeb oluliseks rikkumiseks igaühte alltoodud näidetest, mitte kolme väljatoodud rikkumist kogumina. </w:t>
      </w:r>
    </w:p>
    <w:p w14:paraId="54449BDA"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Näited rikkumistest:</w:t>
      </w:r>
      <w:r w:rsidRPr="003A1041">
        <w:rPr>
          <w:rFonts w:ascii="Times New Roman" w:eastAsia="Aptos" w:hAnsi="Times New Roman" w:cs="Times New Roman"/>
          <w:kern w:val="2"/>
          <w:sz w:val="24"/>
          <w:szCs w:val="24"/>
          <w14:ligatures w14:val="standardContextual"/>
        </w:rPr>
        <w:tab/>
      </w:r>
    </w:p>
    <w:p w14:paraId="671BD84E" w14:textId="77777777" w:rsidR="003A1041" w:rsidRPr="003A1041" w:rsidRDefault="003A1041" w:rsidP="003A1041">
      <w:pPr>
        <w:numPr>
          <w:ilvl w:val="0"/>
          <w:numId w:val="1"/>
        </w:numPr>
        <w:spacing w:after="0" w:line="240" w:lineRule="auto"/>
        <w:contextualSpacing/>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Tellija</w:t>
      </w:r>
      <w:r w:rsidRPr="003A1041">
        <w:rPr>
          <w:rFonts w:ascii="Times New Roman" w:eastAsia="Aptos" w:hAnsi="Times New Roman" w:cs="Times New Roman"/>
          <w:color w:val="A02B93"/>
          <w:kern w:val="2"/>
          <w:sz w:val="24"/>
          <w:szCs w:val="24"/>
          <w14:ligatures w14:val="standardContextual"/>
        </w:rPr>
        <w:t xml:space="preserve"> </w:t>
      </w:r>
      <w:r w:rsidRPr="003A1041">
        <w:rPr>
          <w:rFonts w:ascii="Times New Roman" w:eastAsia="Aptos" w:hAnsi="Times New Roman" w:cs="Times New Roman"/>
          <w:kern w:val="2"/>
          <w:sz w:val="24"/>
          <w:szCs w:val="24"/>
          <w14:ligatures w14:val="standardContextual"/>
        </w:rPr>
        <w:t xml:space="preserve">küsis täitjalt 1 pakkumise motivatsiooniürituse korraldamiseks SA Tehvandi Spordikeskuses Käärikul (majutus ja toitlustus). Täitja 1 esitas tellijale pakkumise, milles oli näidatud ühe maja hind 470 eurot ühe öö kohta, kuid ettevõtja veebilehel oli sama maja hind 420 eurot ühe öö kohta. Lisaks majutusele oli pakkumises võrreldes ettevõtja veebilehega kallim ka toit. Tellija võttis ühendust SA Tehvandi Spordikeskusega ja selgus, et täitjale 1 ettevõtja poolt edastatud pakkumine oli tegelikult soodsam, kui see mis täitja 1 esitas tellijale. Täitja 1 ei edastanud seega tellijale pakkumist hinnaga, mille oli saanud SA Tehvandi Spordikeskuselt, vaid muudetud hindadega pakkumise. </w:t>
      </w:r>
    </w:p>
    <w:p w14:paraId="32460792" w14:textId="77777777" w:rsidR="003A1041" w:rsidRPr="003A1041" w:rsidRDefault="003A1041" w:rsidP="003A1041">
      <w:pPr>
        <w:spacing w:after="0" w:line="240" w:lineRule="auto"/>
        <w:ind w:left="720"/>
        <w:contextualSpacing/>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ab/>
      </w:r>
    </w:p>
    <w:p w14:paraId="439D40B5" w14:textId="77777777" w:rsidR="003A1041" w:rsidRPr="003A1041" w:rsidRDefault="003A1041" w:rsidP="003A1041">
      <w:pPr>
        <w:numPr>
          <w:ilvl w:val="0"/>
          <w:numId w:val="1"/>
        </w:numPr>
        <w:spacing w:after="0" w:line="240" w:lineRule="auto"/>
        <w:contextualSpacing/>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 xml:space="preserve">Tellija soovis pakkumist motivatsiooniürituse korraldamiseks Endla talus. Täitja 1 esitas tellijale pakkumise kogumaksumusega 9942 eurot ilma käibemaksuta. Tellija käis kohapeal Endla Taluga tutvumas ning muuhulgas räägiti ka pakkumise hindadest. Jutuajamise käigus mõistis tellija, et täitja 1 poolt tellijale esitatud pakkumises olev hind </w:t>
      </w:r>
      <w:r w:rsidRPr="003A1041">
        <w:rPr>
          <w:rFonts w:ascii="Times New Roman" w:eastAsia="Aptos" w:hAnsi="Times New Roman" w:cs="Times New Roman"/>
          <w:kern w:val="2"/>
          <w:sz w:val="24"/>
          <w:szCs w:val="24"/>
          <w14:ligatures w14:val="standardContextual"/>
        </w:rPr>
        <w:lastRenderedPageBreak/>
        <w:t xml:space="preserve">oli tunduvalt kõrgem hinnast, mida pakkus Endla Talu täitjale 1. Tellija tegi päringu Endla Talule ning selgus, et tegelikult esitati täitjale 1 pakkumus hinnaga 9112 eurot ilma käibemaksuta. Täitja 1 ei edastanud seega tellijale seda pakkumist, mille sai Endla Talult, vaid muudetud hindadega pakkumise. </w:t>
      </w:r>
    </w:p>
    <w:p w14:paraId="02C84356" w14:textId="77777777" w:rsidR="003A1041" w:rsidRPr="003A1041" w:rsidRDefault="003A1041" w:rsidP="003A1041">
      <w:pPr>
        <w:spacing w:after="0" w:line="240" w:lineRule="auto"/>
        <w:ind w:left="720"/>
        <w:contextualSpacing/>
        <w:rPr>
          <w:rFonts w:ascii="Times New Roman" w:eastAsia="Aptos" w:hAnsi="Times New Roman" w:cs="Times New Roman"/>
          <w:kern w:val="2"/>
          <w:sz w:val="24"/>
          <w:szCs w:val="24"/>
          <w14:ligatures w14:val="standardContextual"/>
        </w:rPr>
      </w:pPr>
    </w:p>
    <w:p w14:paraId="57CBFD14" w14:textId="77777777" w:rsidR="003A1041" w:rsidRPr="003A1041" w:rsidRDefault="003A1041" w:rsidP="003A1041">
      <w:pPr>
        <w:numPr>
          <w:ilvl w:val="0"/>
          <w:numId w:val="1"/>
        </w:numPr>
        <w:spacing w:after="0" w:line="240" w:lineRule="auto"/>
        <w:contextualSpacing/>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 xml:space="preserve">Tellija soovis täitjalt 1 pakkumist motivatsiooniürituse korraldamiseks Parvematkadelt. Täitja 1 esitas tellijale pakkumise, milles käibemaksuga peo- ja koolitusparve hind oli 720 eurot ööpäev või 95 eurot tund ja suure parvemaja sauna hind oli 840 eurot ööpäev või 85 eurot tund. Tellija kontrollis kodulehelt Parvematka hindasid. Kodulehel oli Parvematkad peo- ja koolitusparve hind käibemaksuga 620 eurot ööpäev või 87 eurot tund ja suure parvemaja hind 738 eurot ööpäev või 74 eurot tund. Kodulehel toodud hindadega esitati pakkumine hiljem ka täitjalt 2. Tellijal on eelnevast tulenevalt põhjendatud alus arvata, et samade hindadega esitati pakkumine nii täitjale 1 kui ka täitjale 2, kuid täitja 1 otsustas tellijale esitada muudetud hindadega pakkumise. </w:t>
      </w:r>
    </w:p>
    <w:p w14:paraId="47B8C302"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161DECEF"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 xml:space="preserve">Eeltoodud rikkumistega seonduvalt edastas hankija 10.10.2025 kirjaga nr 2-1/719-1 Reisieksperdi Aktsiaseltsile järelepärimise, milles soovis teada, miks täitja 1 ei ole </w:t>
      </w:r>
      <w:r w:rsidRPr="003A1041">
        <w:rPr>
          <w:rFonts w:ascii="Times New Roman" w:eastAsia="Aptos" w:hAnsi="Times New Roman" w:cs="Times New Roman"/>
          <w:i/>
          <w:iCs/>
          <w:kern w:val="2"/>
          <w:sz w:val="24"/>
          <w:szCs w:val="24"/>
          <w14:ligatures w14:val="standardContextual"/>
        </w:rPr>
        <w:t>edastanud tellijale sisseostuhinnaga pakkumisi, millele on lisatud üksnes lepingus ette nähtud teenustasu 0,01% vaid on sisseostuhinda muutnud, näidates seda tellijale tegelikust kõrgemana.</w:t>
      </w:r>
      <w:r w:rsidRPr="003A1041">
        <w:rPr>
          <w:rFonts w:ascii="Times New Roman" w:eastAsia="Aptos" w:hAnsi="Times New Roman" w:cs="Times New Roman"/>
          <w:kern w:val="2"/>
          <w:sz w:val="24"/>
          <w:szCs w:val="24"/>
          <w14:ligatures w14:val="standardContextual"/>
        </w:rPr>
        <w:t xml:space="preserve"> Järelepärimisele 24.10.2025 saadetud vastuses möönis täitja 1 rikkumiste asetleidmist, kuid märkis, et sellega ei tekitatud tellijale kahju. Ühtlasi märkis täitja 1, et tema hinnangul on tegemist nö hübriidlepinguga, mille tingimusi hankija tõlgendab ühekülgselt ja kitsendavalt. </w:t>
      </w:r>
    </w:p>
    <w:p w14:paraId="15175210"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3AB3DCFF" w14:textId="318424D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 xml:space="preserve">Tellijale esitatavas pakkumises sisseostuhindade kõrgemana näitamine tähendab seda, et </w:t>
      </w:r>
      <w:r w:rsidRPr="003A1041">
        <w:rPr>
          <w:rFonts w:ascii="Times New Roman" w:eastAsia="Aptos" w:hAnsi="Times New Roman" w:cs="Times New Roman"/>
          <w:kern w:val="2"/>
          <w:sz w:val="24"/>
          <w:szCs w:val="24"/>
          <w14:ligatures w14:val="standardContextual"/>
        </w:rPr>
        <w:br/>
        <w:t>täitja 1 oleks seeläbi saanud kõrgemat teenustasu, kui lepingu punktis 4.3.</w:t>
      </w:r>
      <w:r w:rsidR="008B6D49">
        <w:rPr>
          <w:rFonts w:ascii="Times New Roman" w:eastAsia="Aptos" w:hAnsi="Times New Roman" w:cs="Times New Roman"/>
          <w:kern w:val="2"/>
          <w:sz w:val="24"/>
          <w:szCs w:val="24"/>
          <w14:ligatures w14:val="standardContextual"/>
        </w:rPr>
        <w:t>1</w:t>
      </w:r>
      <w:r w:rsidRPr="003A1041">
        <w:rPr>
          <w:rFonts w:ascii="Times New Roman" w:eastAsia="Aptos" w:hAnsi="Times New Roman" w:cs="Times New Roman"/>
          <w:kern w:val="2"/>
          <w:sz w:val="24"/>
          <w:szCs w:val="24"/>
          <w14:ligatures w14:val="standardContextual"/>
        </w:rPr>
        <w:t xml:space="preserve"> kokkulepitud 0,01%.</w:t>
      </w:r>
      <w:r w:rsidRPr="003A1041">
        <w:rPr>
          <w:rFonts w:ascii="Segoe UI" w:eastAsia="Times New Roman" w:hAnsi="Segoe UI" w:cs="Segoe UI"/>
          <w:sz w:val="18"/>
          <w:szCs w:val="18"/>
          <w:lang w:eastAsia="et-EE"/>
        </w:rPr>
        <w:t xml:space="preserve"> </w:t>
      </w:r>
      <w:r w:rsidRPr="003A1041">
        <w:rPr>
          <w:rFonts w:ascii="Times New Roman" w:eastAsia="Aptos" w:hAnsi="Times New Roman" w:cs="Times New Roman"/>
          <w:kern w:val="2"/>
          <w:sz w:val="24"/>
          <w:szCs w:val="24"/>
          <w14:ligatures w14:val="standardContextual"/>
        </w:rPr>
        <w:t xml:space="preserve">Rõhutame, et Reisieksperdi Aktsiaselts osutus riigihanke tulemusel lepingus täitjaks 1 seetõttu, et tema riigihanke pakkumuses pakutud teenustasu protsent oli madalaim. Lisaks, lepingu punkti 4.3.2 kohaselt lisatakse teenustasu täitja poolt vahendatava teenuse </w:t>
      </w:r>
      <w:r w:rsidRPr="003A1041">
        <w:rPr>
          <w:rFonts w:ascii="Times New Roman" w:eastAsia="Aptos" w:hAnsi="Times New Roman" w:cs="Times New Roman"/>
          <w:kern w:val="2"/>
          <w:sz w:val="24"/>
          <w:szCs w:val="24"/>
          <w:u w:val="single"/>
          <w14:ligatures w14:val="standardContextual"/>
        </w:rPr>
        <w:t>sisseostuhinnale</w:t>
      </w:r>
      <w:r w:rsidRPr="003A1041">
        <w:rPr>
          <w:rFonts w:ascii="Times New Roman" w:eastAsia="Aptos" w:hAnsi="Times New Roman" w:cs="Times New Roman"/>
          <w:kern w:val="2"/>
          <w:sz w:val="24"/>
          <w:szCs w:val="24"/>
          <w14:ligatures w14:val="standardContextual"/>
        </w:rPr>
        <w:t xml:space="preserve"> protsentuaalse väärtusena ning see sisaldab endas kõiki teenuse osutamisega seotud reisibüroo kulusid, sealhulgas teenustasu, käsitlustasu, broneerimistasu, väljastamistasu vms. Teenustasu lisamine ei ole lubatud teistelt isikutelt vahetult tellija teenindamiseks soetatud kaupade ja teenuste sisseostuarvel välja toodud lõivudele ja maksudele. Seega oli täitja 1 kohustatud edastama sisseostuhinnaga pakkumised, millele oli lubatud lisada üksnes lepingus kokkulepitud teenustasu. </w:t>
      </w:r>
    </w:p>
    <w:p w14:paraId="2131EA6C"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12FAE52A"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 xml:space="preserve">Riigihangete seaduse (edaspidi </w:t>
      </w:r>
      <w:r w:rsidRPr="003A1041">
        <w:rPr>
          <w:rFonts w:ascii="Times New Roman" w:eastAsia="Aptos" w:hAnsi="Times New Roman" w:cs="Times New Roman"/>
          <w:i/>
          <w:iCs/>
          <w:kern w:val="2"/>
          <w:sz w:val="24"/>
          <w:szCs w:val="24"/>
          <w14:ligatures w14:val="standardContextual"/>
        </w:rPr>
        <w:t>RHS</w:t>
      </w:r>
      <w:r w:rsidRPr="003A1041">
        <w:rPr>
          <w:rFonts w:ascii="Times New Roman" w:eastAsia="Aptos" w:hAnsi="Times New Roman" w:cs="Times New Roman"/>
          <w:kern w:val="2"/>
          <w:sz w:val="24"/>
          <w:szCs w:val="24"/>
          <w14:ligatures w14:val="standardContextual"/>
        </w:rPr>
        <w:t xml:space="preserve">) § 8 lõikest 2 tulenevalt kohaldatakse hankelepingule võlaõigusseaduses ja teistes õigusaktides asjaomase lepinguliigi kohta sätestatut, kui riigihangete seaduses ei ole sätestatud teisiti. Reisikorraldusteenuse raamlepingu puhul on tegemist kestvuslepinguga, seega kohaldub ülesütlemisele võlaõigusseaduse (edaspidi </w:t>
      </w:r>
      <w:r w:rsidRPr="003A1041">
        <w:rPr>
          <w:rFonts w:ascii="Times New Roman" w:eastAsia="Aptos" w:hAnsi="Times New Roman" w:cs="Times New Roman"/>
          <w:i/>
          <w:iCs/>
          <w:kern w:val="2"/>
          <w:sz w:val="24"/>
          <w:szCs w:val="24"/>
          <w14:ligatures w14:val="standardContextual"/>
        </w:rPr>
        <w:t>VÕS</w:t>
      </w:r>
      <w:r w:rsidRPr="003A1041">
        <w:rPr>
          <w:rFonts w:ascii="Times New Roman" w:eastAsia="Aptos" w:hAnsi="Times New Roman" w:cs="Times New Roman"/>
          <w:kern w:val="2"/>
          <w:sz w:val="24"/>
          <w:szCs w:val="24"/>
          <w14:ligatures w14:val="standardContextual"/>
        </w:rPr>
        <w:t xml:space="preserve">) </w:t>
      </w:r>
      <w:r w:rsidRPr="003A1041">
        <w:rPr>
          <w:rFonts w:ascii="Times New Roman" w:eastAsia="Aptos" w:hAnsi="Times New Roman" w:cs="Times New Roman"/>
          <w:kern w:val="2"/>
          <w:sz w:val="24"/>
          <w:szCs w:val="24"/>
          <w14:ligatures w14:val="standardContextual"/>
        </w:rPr>
        <w:br/>
        <w:t xml:space="preserve">§ 196. Kuivõrd täitja 1 poolt toime pandud rikkumised on käsitletavad oluliste rikkumistena lepingu tähenduses, siis VÕS § 196 lõike 2 kohaselt on hankijal õigus leping üles öelda ilma täiendavat tähtaega andmata. </w:t>
      </w:r>
    </w:p>
    <w:p w14:paraId="3E362B03"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3F1CF91E"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Lepingu punkti 11.3 kohaselt loetakse poole kontaktisiku e-posti aadressile saadetud teade kättesaaduks samal päeval, kui see on saadetud enne kella 17.00. Pärast kella 17.00 saadetud elektrooniline teade loetakse kättesaaduks järgmisel tööpäeval.</w:t>
      </w:r>
    </w:p>
    <w:p w14:paraId="558DC45F"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3AB34D80" w14:textId="5A98635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Juhime tähelepanu, et vastavalt lepingu punktile 9.3 tuleb täita kõik tellimused, mis on lepingu kehtivusajal kooskõlas lepinguga esitatud. Eeltoodust tulenevalt on Reisieksperdi A</w:t>
      </w:r>
      <w:r w:rsidR="008B6D49">
        <w:rPr>
          <w:rFonts w:ascii="Times New Roman" w:eastAsia="Aptos" w:hAnsi="Times New Roman" w:cs="Times New Roman"/>
          <w:kern w:val="2"/>
          <w:sz w:val="24"/>
          <w:szCs w:val="24"/>
          <w14:ligatures w14:val="standardContextual"/>
        </w:rPr>
        <w:t>ktsiaselts</w:t>
      </w:r>
      <w:r w:rsidRPr="003A1041">
        <w:rPr>
          <w:rFonts w:ascii="Times New Roman" w:eastAsia="Aptos" w:hAnsi="Times New Roman" w:cs="Times New Roman"/>
          <w:kern w:val="2"/>
          <w:sz w:val="24"/>
          <w:szCs w:val="24"/>
          <w14:ligatures w14:val="standardContextual"/>
        </w:rPr>
        <w:t xml:space="preserve"> kohustatud nõuetekohaselt täitma kõik kuni käesoleva ülesütlemisavalduseni tellijate poolt esitatud tellimused ning esitama arved nõuetekohaselt osutatud teenuste eest vastavalt lepingu punktile 4.4. </w:t>
      </w:r>
    </w:p>
    <w:p w14:paraId="1D31BEF3" w14:textId="77777777" w:rsidR="003A1041" w:rsidRPr="003A1041" w:rsidRDefault="003A1041" w:rsidP="003A1041">
      <w:pPr>
        <w:spacing w:after="0" w:line="240" w:lineRule="auto"/>
        <w:ind w:left="0"/>
        <w:jc w:val="both"/>
        <w:rPr>
          <w:rFonts w:ascii="Times New Roman" w:eastAsia="Aptos" w:hAnsi="Times New Roman" w:cs="Times New Roman"/>
          <w:b/>
          <w:kern w:val="2"/>
          <w:sz w:val="24"/>
          <w:szCs w:val="24"/>
          <w14:ligatures w14:val="standardContextual"/>
        </w:rPr>
      </w:pPr>
      <w:r w:rsidRPr="003A1041">
        <w:rPr>
          <w:rFonts w:ascii="Times New Roman" w:eastAsia="Aptos" w:hAnsi="Times New Roman" w:cs="Times New Roman"/>
          <w:b/>
          <w:kern w:val="2"/>
          <w:sz w:val="24"/>
          <w:szCs w:val="24"/>
          <w14:ligatures w14:val="standardContextual"/>
        </w:rPr>
        <w:lastRenderedPageBreak/>
        <w:t xml:space="preserve">Tulenevalt eeltoodust ja asjaolust, et </w:t>
      </w:r>
      <w:bookmarkStart w:id="2" w:name="_Hlk214605504"/>
      <w:r w:rsidRPr="003A1041">
        <w:rPr>
          <w:rFonts w:ascii="Times New Roman" w:eastAsia="Aptos" w:hAnsi="Times New Roman" w:cs="Times New Roman"/>
          <w:b/>
          <w:kern w:val="2"/>
          <w:sz w:val="24"/>
          <w:szCs w:val="24"/>
          <w14:ligatures w14:val="standardContextual"/>
        </w:rPr>
        <w:t xml:space="preserve">Reisieksperdi Aktsiaselts on oma lepingust tulenevaid kohustusi korduvalt ja oluliselt rikkunud, ei saa Siseministeerium tulenevalt mõistlikkuse põhimõttest eeldada lepingu jätkamist kuni kokkulepitud tähtpäevani või etteteatamistähtaja lõppemiseni. </w:t>
      </w:r>
      <w:bookmarkEnd w:id="2"/>
      <w:r w:rsidRPr="003A1041">
        <w:rPr>
          <w:rFonts w:ascii="Times New Roman" w:eastAsia="Aptos" w:hAnsi="Times New Roman" w:cs="Times New Roman"/>
          <w:b/>
          <w:kern w:val="2"/>
          <w:sz w:val="24"/>
          <w:szCs w:val="24"/>
          <w14:ligatures w14:val="standardContextual"/>
        </w:rPr>
        <w:t xml:space="preserve"> </w:t>
      </w:r>
    </w:p>
    <w:p w14:paraId="187727E0"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2E418DAC"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Lugupidamisega</w:t>
      </w:r>
    </w:p>
    <w:p w14:paraId="23E4DC66"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1DE7F186"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66296B8F"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(allkirjastatud digitaalselt)</w:t>
      </w:r>
    </w:p>
    <w:p w14:paraId="5E102A88"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2D3C9E97"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099CD203"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Krista Aas</w:t>
      </w:r>
    </w:p>
    <w:p w14:paraId="603177AF"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r w:rsidRPr="003A1041">
        <w:rPr>
          <w:rFonts w:ascii="Times New Roman" w:eastAsia="Aptos" w:hAnsi="Times New Roman" w:cs="Times New Roman"/>
          <w:kern w:val="2"/>
          <w:sz w:val="24"/>
          <w:szCs w:val="24"/>
          <w14:ligatures w14:val="standardContextual"/>
        </w:rPr>
        <w:t>Varade asekantsler</w:t>
      </w:r>
    </w:p>
    <w:p w14:paraId="64C9500F" w14:textId="77777777" w:rsidR="003A1041" w:rsidRPr="003A1041" w:rsidRDefault="003A1041" w:rsidP="003A1041">
      <w:pPr>
        <w:spacing w:after="0" w:line="240" w:lineRule="auto"/>
        <w:ind w:left="0"/>
        <w:jc w:val="both"/>
        <w:rPr>
          <w:rFonts w:ascii="Times New Roman" w:eastAsia="Aptos" w:hAnsi="Times New Roman" w:cs="Times New Roman"/>
          <w:kern w:val="2"/>
          <w:sz w:val="24"/>
          <w:szCs w:val="24"/>
          <w14:ligatures w14:val="standardContextual"/>
        </w:rPr>
      </w:pPr>
    </w:p>
    <w:p w14:paraId="35E038EC" w14:textId="77777777" w:rsidR="003A1041" w:rsidRPr="004547E0" w:rsidRDefault="003A1041" w:rsidP="00A61217">
      <w:pPr>
        <w:spacing w:after="0" w:line="240" w:lineRule="auto"/>
        <w:ind w:left="0"/>
        <w:jc w:val="both"/>
        <w:rPr>
          <w:rFonts w:ascii="Times New Roman" w:hAnsi="Times New Roman" w:cs="Times New Roman"/>
          <w:sz w:val="24"/>
          <w:szCs w:val="24"/>
        </w:rPr>
      </w:pPr>
    </w:p>
    <w:sectPr w:rsidR="003A1041" w:rsidRPr="004547E0" w:rsidSect="0094539D">
      <w:headerReference w:type="default" r:id="rId8"/>
      <w:footerReference w:type="default" r:id="rId9"/>
      <w:footerReference w:type="first" r:id="rId10"/>
      <w:pgSz w:w="11906" w:h="16838" w:code="9"/>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58531" w14:textId="77777777" w:rsidR="00E83CF6" w:rsidRDefault="00E83CF6" w:rsidP="006C5B5F">
      <w:pPr>
        <w:spacing w:after="0" w:line="240" w:lineRule="auto"/>
      </w:pPr>
      <w:r>
        <w:separator/>
      </w:r>
    </w:p>
  </w:endnote>
  <w:endnote w:type="continuationSeparator" w:id="0">
    <w:p w14:paraId="7FBCFD91" w14:textId="77777777" w:rsidR="00E83CF6" w:rsidRDefault="00E83CF6" w:rsidP="006C5B5F">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2637B" w14:textId="1DC9CAB7" w:rsidR="00495FD0" w:rsidRPr="0094539D" w:rsidRDefault="0094539D" w:rsidP="00FE1F1A">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3C7584">
      <w:rPr>
        <w:rFonts w:ascii="Times New Roman" w:hAnsi="Times New Roman" w:cs="Times New Roman"/>
        <w:noProof/>
        <w:sz w:val="20"/>
        <w:szCs w:val="20"/>
      </w:rPr>
      <w:t>3</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3C7584">
      <w:rPr>
        <w:rFonts w:ascii="Times New Roman" w:hAnsi="Times New Roman" w:cs="Times New Roman"/>
        <w:noProof/>
        <w:sz w:val="20"/>
        <w:szCs w:val="20"/>
      </w:rPr>
      <w:t>3</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9AA0" w14:textId="0C462031" w:rsidR="0094539D" w:rsidRPr="0094539D" w:rsidRDefault="0094539D" w:rsidP="0094539D">
    <w:pPr>
      <w:pStyle w:val="Footer"/>
      <w:ind w:left="0"/>
      <w:rPr>
        <w:rFonts w:ascii="Times New Roman" w:hAnsi="Times New Roman" w:cs="Times New Roman"/>
        <w:sz w:val="20"/>
        <w:szCs w:val="20"/>
      </w:rPr>
    </w:pPr>
    <w:r w:rsidRPr="0094539D">
      <w:rPr>
        <w:rFonts w:ascii="Times New Roman" w:hAnsi="Times New Roman" w:cs="Times New Roman"/>
        <w:sz w:val="20"/>
        <w:szCs w:val="20"/>
      </w:rPr>
      <w:t>Pikk 61 / 15065 Tallinn / info@siseministeerium.ee / www.siseministeerium.ee</w:t>
    </w:r>
  </w:p>
  <w:p w14:paraId="5411C2BE" w14:textId="77777777" w:rsidR="0094539D" w:rsidRPr="0094539D" w:rsidRDefault="0094539D" w:rsidP="0094539D">
    <w:pPr>
      <w:pStyle w:val="Footer"/>
      <w:ind w:left="0"/>
      <w:rPr>
        <w:rFonts w:ascii="Times New Roman" w:hAnsi="Times New Roman" w:cs="Times New Roman"/>
        <w:sz w:val="20"/>
        <w:szCs w:val="20"/>
      </w:rPr>
    </w:pPr>
    <w:r w:rsidRPr="0094539D">
      <w:rPr>
        <w:rFonts w:ascii="Times New Roman" w:hAnsi="Times New Roman" w:cs="Times New Roman"/>
        <w:sz w:val="20"/>
        <w:szCs w:val="20"/>
      </w:rPr>
      <w:t>Registrikood 70000562</w:t>
    </w:r>
  </w:p>
  <w:p w14:paraId="4868CBF7" w14:textId="77777777" w:rsidR="0094539D" w:rsidRPr="0094539D" w:rsidRDefault="0094539D" w:rsidP="0094539D">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79483" w14:textId="77777777" w:rsidR="00E83CF6" w:rsidRDefault="00E83CF6" w:rsidP="006C5B5F">
      <w:pPr>
        <w:spacing w:after="0" w:line="240" w:lineRule="auto"/>
      </w:pPr>
      <w:r>
        <w:separator/>
      </w:r>
    </w:p>
  </w:footnote>
  <w:footnote w:type="continuationSeparator" w:id="0">
    <w:p w14:paraId="21EEDFE1" w14:textId="77777777" w:rsidR="00E83CF6" w:rsidRDefault="00E83CF6" w:rsidP="006C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27FF2" w14:textId="77777777" w:rsidR="00FE1F1A" w:rsidRPr="00FE1F1A" w:rsidRDefault="00FE1F1A" w:rsidP="00FE1F1A">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A4C"/>
    <w:multiLevelType w:val="hybridMultilevel"/>
    <w:tmpl w:val="B4220B2E"/>
    <w:lvl w:ilvl="0" w:tplc="C6AEB7A4">
      <w:start w:val="1"/>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B3B"/>
    <w:rsid w:val="00050593"/>
    <w:rsid w:val="0005129D"/>
    <w:rsid w:val="00060FE3"/>
    <w:rsid w:val="000F3DF8"/>
    <w:rsid w:val="00167A16"/>
    <w:rsid w:val="001A4AAD"/>
    <w:rsid w:val="001B771F"/>
    <w:rsid w:val="001B7F83"/>
    <w:rsid w:val="002B6007"/>
    <w:rsid w:val="002C7FC3"/>
    <w:rsid w:val="002E21E9"/>
    <w:rsid w:val="003A1041"/>
    <w:rsid w:val="003C0B01"/>
    <w:rsid w:val="003C7584"/>
    <w:rsid w:val="003F7092"/>
    <w:rsid w:val="00436883"/>
    <w:rsid w:val="004547DB"/>
    <w:rsid w:val="004547E0"/>
    <w:rsid w:val="00466D0A"/>
    <w:rsid w:val="00495FD0"/>
    <w:rsid w:val="004E1881"/>
    <w:rsid w:val="004F702B"/>
    <w:rsid w:val="0054123C"/>
    <w:rsid w:val="005442C4"/>
    <w:rsid w:val="0055626B"/>
    <w:rsid w:val="00566D13"/>
    <w:rsid w:val="00594CF8"/>
    <w:rsid w:val="005A70A2"/>
    <w:rsid w:val="00627303"/>
    <w:rsid w:val="0063372B"/>
    <w:rsid w:val="006A0DE4"/>
    <w:rsid w:val="006C16A1"/>
    <w:rsid w:val="006C5B5F"/>
    <w:rsid w:val="00765B50"/>
    <w:rsid w:val="00780CC2"/>
    <w:rsid w:val="007B4418"/>
    <w:rsid w:val="007D3725"/>
    <w:rsid w:val="007D527F"/>
    <w:rsid w:val="00810390"/>
    <w:rsid w:val="00870CB7"/>
    <w:rsid w:val="008A18AC"/>
    <w:rsid w:val="008B6D49"/>
    <w:rsid w:val="008D6EBA"/>
    <w:rsid w:val="008E6C16"/>
    <w:rsid w:val="00933056"/>
    <w:rsid w:val="0094539D"/>
    <w:rsid w:val="009655F7"/>
    <w:rsid w:val="009761F5"/>
    <w:rsid w:val="009814AC"/>
    <w:rsid w:val="00995C73"/>
    <w:rsid w:val="00A27F56"/>
    <w:rsid w:val="00A61217"/>
    <w:rsid w:val="00AF4B2E"/>
    <w:rsid w:val="00AF5F00"/>
    <w:rsid w:val="00B11E7E"/>
    <w:rsid w:val="00B21E4C"/>
    <w:rsid w:val="00B77CD8"/>
    <w:rsid w:val="00BA18BE"/>
    <w:rsid w:val="00BA1AE1"/>
    <w:rsid w:val="00BB1B3B"/>
    <w:rsid w:val="00BB6D6E"/>
    <w:rsid w:val="00BE0749"/>
    <w:rsid w:val="00C3478F"/>
    <w:rsid w:val="00C80AD3"/>
    <w:rsid w:val="00C87443"/>
    <w:rsid w:val="00C9085E"/>
    <w:rsid w:val="00CC5F30"/>
    <w:rsid w:val="00CD62A9"/>
    <w:rsid w:val="00D21FBE"/>
    <w:rsid w:val="00D73579"/>
    <w:rsid w:val="00D919DE"/>
    <w:rsid w:val="00DC4A13"/>
    <w:rsid w:val="00E23D1F"/>
    <w:rsid w:val="00E242F3"/>
    <w:rsid w:val="00E26533"/>
    <w:rsid w:val="00E83CF6"/>
    <w:rsid w:val="00E97536"/>
    <w:rsid w:val="00EB4DBF"/>
    <w:rsid w:val="00EF4BE4"/>
    <w:rsid w:val="00F6332D"/>
    <w:rsid w:val="00F71BC1"/>
    <w:rsid w:val="00F8123F"/>
    <w:rsid w:val="00F86758"/>
    <w:rsid w:val="00FE1F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94191"/>
  <w15:docId w15:val="{8BA2E819-70F1-4797-A4DC-CC4DEF69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F71BC1"/>
    <w:pPr>
      <w:tabs>
        <w:tab w:val="left" w:pos="567"/>
      </w:tabs>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1023</Words>
  <Characters>5936</Characters>
  <Application>Microsoft Office Word</Application>
  <DocSecurity>0</DocSecurity>
  <Lines>49</Lines>
  <Paragraphs>13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Siseministeerium</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Zanna Arhipova</dc:creator>
  <cp:lastModifiedBy>DELTA</cp:lastModifiedBy>
  <cp:revision>2</cp:revision>
  <dcterms:created xsi:type="dcterms:W3CDTF">2025-11-24T11:10:00Z</dcterms:created>
  <dcterms:modified xsi:type="dcterms:W3CDTF">2025-11-24T11:10:00Z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